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74FD76B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1D1A58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672C8" w:rsidRPr="001D1A58">
        <w:rPr>
          <w:rFonts w:asciiTheme="majorHAnsi" w:eastAsia="Times New Roman" w:hAnsiTheme="majorHAnsi" w:cs="Times New Roman"/>
          <w:lang w:eastAsia="cs-CZ"/>
        </w:rPr>
        <w:t>3</w:t>
      </w:r>
      <w:r w:rsidRPr="001D1A58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8672C8">
        <w:rPr>
          <w:rFonts w:eastAsia="Times New Roman" w:cs="Times New Roman"/>
          <w:b/>
          <w:highlight w:val="lightGray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519D777E" w:rsidR="005740C3" w:rsidRPr="005740C3" w:rsidRDefault="00D56D19" w:rsidP="005740C3">
      <w:pPr>
        <w:rPr>
          <w:highlight w:val="yellow"/>
        </w:rPr>
      </w:pPr>
      <w:r>
        <w:rPr>
          <w:rFonts w:eastAsia="Times New Roman" w:cs="Times New Roman"/>
          <w:b/>
          <w:lang w:eastAsia="cs-CZ"/>
        </w:rPr>
        <w:t xml:space="preserve">Číslo ISPROFOND/SUBISPROFIN </w:t>
      </w:r>
      <w:r w:rsidR="008549FB">
        <w:rPr>
          <w:rFonts w:eastAsia="Times New Roman" w:cs="Times New Roman"/>
          <w:b/>
          <w:lang w:eastAsia="cs-CZ"/>
        </w:rPr>
        <w:t>S</w:t>
      </w:r>
      <w:r w:rsidRPr="00253EBB">
        <w:rPr>
          <w:b/>
        </w:rPr>
        <w:t>5</w:t>
      </w:r>
      <w:r w:rsidR="008549FB">
        <w:rPr>
          <w:b/>
        </w:rPr>
        <w:t>1</w:t>
      </w:r>
      <w:r w:rsidR="003D6687">
        <w:rPr>
          <w:b/>
        </w:rPr>
        <w:t>2100048</w:t>
      </w:r>
      <w:r w:rsidRPr="00253EBB">
        <w:rPr>
          <w:b/>
        </w:rPr>
        <w:t>/500</w:t>
      </w:r>
      <w:r w:rsidR="008549FB">
        <w:rPr>
          <w:b/>
        </w:rPr>
        <w:t>3140003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8672C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8672C8">
        <w:rPr>
          <w:rFonts w:eastAsia="Times New Roman" w:cs="Times New Roman"/>
          <w:lang w:eastAsia="cs-CZ"/>
        </w:rPr>
        <w:t xml:space="preserve">zapsaná v obchodním rejstříku vedeném Městským soudem v Praze pod sp. zn. </w:t>
      </w:r>
      <w:r w:rsidRPr="008672C8">
        <w:rPr>
          <w:rFonts w:eastAsia="Times New Roman" w:cs="Times New Roman"/>
          <w:lang w:eastAsia="cs-CZ"/>
        </w:rPr>
        <w:tab/>
      </w:r>
      <w:r w:rsidRPr="008672C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8672C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672C8">
        <w:rPr>
          <w:rFonts w:eastAsia="Times New Roman" w:cs="Times New Roman"/>
          <w:lang w:eastAsia="cs-CZ"/>
        </w:rPr>
        <w:tab/>
      </w:r>
      <w:r w:rsidRPr="008672C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8672C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672C8">
        <w:rPr>
          <w:rFonts w:eastAsia="Times New Roman" w:cs="Times New Roman"/>
          <w:lang w:eastAsia="cs-CZ"/>
        </w:rPr>
        <w:tab/>
      </w:r>
      <w:r w:rsidRPr="008672C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AE14A1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8672C8">
        <w:rPr>
          <w:rFonts w:eastAsia="Times New Roman" w:cs="Times New Roman"/>
          <w:lang w:eastAsia="cs-CZ"/>
        </w:rPr>
        <w:tab/>
      </w:r>
      <w:r w:rsidRPr="008672C8">
        <w:rPr>
          <w:rFonts w:eastAsia="Times New Roman" w:cs="Times New Roman"/>
          <w:lang w:eastAsia="cs-CZ"/>
        </w:rPr>
        <w:tab/>
        <w:t xml:space="preserve">zastoupená </w:t>
      </w:r>
      <w:r w:rsidR="00932D66" w:rsidRPr="0000602F">
        <w:rPr>
          <w:b/>
        </w:rPr>
        <w:t xml:space="preserve">Ing. Marcelou Pernicovou, </w:t>
      </w:r>
      <w:r w:rsidR="00932D66" w:rsidRPr="0000602F">
        <w:t>náměstkyní GŘ pro provozuschopnost</w:t>
      </w:r>
    </w:p>
    <w:p w14:paraId="686BA1F9" w14:textId="5A1BFE6A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</w:t>
      </w:r>
      <w:r w:rsidR="008672C8">
        <w:rPr>
          <w:rFonts w:eastAsia="Times New Roman" w:cs="Times New Roman"/>
          <w:lang w:eastAsia="cs-CZ"/>
        </w:rPr>
        <w:t xml:space="preserve">           </w:t>
      </w:r>
      <w:r w:rsidRPr="004E1498">
        <w:rPr>
          <w:rFonts w:eastAsia="Times New Roman" w:cs="Times New Roman"/>
          <w:lang w:eastAsia="cs-CZ"/>
        </w:rPr>
        <w:t xml:space="preserve">  </w:t>
      </w:r>
      <w:r w:rsidR="008672C8">
        <w:rPr>
          <w:rFonts w:eastAsia="Times New Roman" w:cs="Times New Roman"/>
          <w:lang w:eastAsia="cs-CZ"/>
        </w:rPr>
        <w:t>dráhy</w:t>
      </w:r>
      <w:r w:rsidRPr="004E1498">
        <w:rPr>
          <w:rFonts w:eastAsia="Times New Roman" w:cs="Times New Roman"/>
          <w:lang w:eastAsia="cs-CZ"/>
        </w:rPr>
        <w:tab/>
      </w:r>
    </w:p>
    <w:p w14:paraId="05AE7DF1" w14:textId="436FACFF" w:rsidR="004E1498" w:rsidRPr="004E1498" w:rsidRDefault="004E1498" w:rsidP="008672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D04CB3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3D6687" w:rsidRPr="003D6687">
        <w:rPr>
          <w:b/>
        </w:rPr>
        <w:t>Náhrada přípravků na bázi glyfosátu na železniční dopravní cestě</w:t>
      </w:r>
      <w:r w:rsidRPr="008672C8">
        <w:rPr>
          <w:rFonts w:eastAsia="Times New Roman" w:cs="Times New Roman"/>
          <w:lang w:eastAsia="cs-CZ"/>
        </w:rPr>
        <w:t xml:space="preserve">“, </w:t>
      </w:r>
      <w:r w:rsidR="000D278B" w:rsidRPr="008672C8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570B7C">
        <w:rPr>
          <w:rFonts w:eastAsia="Times New Roman" w:cs="Times New Roman"/>
          <w:lang w:eastAsia="cs-CZ"/>
        </w:rPr>
        <w:t>151954</w:t>
      </w:r>
      <w:r w:rsidR="008672C8" w:rsidRPr="000C39C5">
        <w:rPr>
          <w:rFonts w:eastAsia="Times New Roman" w:cs="Times New Roman"/>
          <w:lang w:eastAsia="cs-CZ"/>
        </w:rPr>
        <w:t>/202</w:t>
      </w:r>
      <w:r w:rsidR="00326DE0">
        <w:rPr>
          <w:rFonts w:eastAsia="Times New Roman" w:cs="Times New Roman"/>
          <w:lang w:eastAsia="cs-CZ"/>
        </w:rPr>
        <w:t>1</w:t>
      </w:r>
      <w:r w:rsidR="008672C8" w:rsidRPr="007D0B36">
        <w:rPr>
          <w:rFonts w:eastAsia="Times New Roman" w:cs="Times New Roman"/>
          <w:lang w:eastAsia="cs-CZ"/>
        </w:rPr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255FBF">
      <w:pPr>
        <w:pStyle w:val="Nadpis1"/>
        <w:jc w:val="both"/>
      </w:pPr>
      <w:r w:rsidRPr="00950C1F">
        <w:t>Dílo</w:t>
      </w:r>
    </w:p>
    <w:p w14:paraId="75B8D031" w14:textId="29C9B754" w:rsidR="004E1498" w:rsidRPr="006C7697" w:rsidRDefault="004E1498" w:rsidP="00255FBF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90198F" w:rsidRDefault="004E1498" w:rsidP="00255FBF">
      <w:pPr>
        <w:pStyle w:val="Nadpis1"/>
        <w:jc w:val="both"/>
        <w:rPr>
          <w:rFonts w:eastAsia="Times New Roman"/>
          <w:lang w:eastAsia="cs-CZ"/>
        </w:rPr>
      </w:pPr>
      <w:r w:rsidRPr="0090198F">
        <w:rPr>
          <w:rFonts w:eastAsia="Times New Roman"/>
          <w:lang w:eastAsia="cs-CZ"/>
        </w:rPr>
        <w:t>Předmět díla</w:t>
      </w:r>
    </w:p>
    <w:p w14:paraId="36A2F292" w14:textId="448EA442" w:rsidR="008549FB" w:rsidRDefault="004E1498" w:rsidP="00255FBF">
      <w:pPr>
        <w:pStyle w:val="Nadpis2"/>
        <w:overflowPunct/>
        <w:autoSpaceDE/>
        <w:autoSpaceDN/>
        <w:adjustRightInd/>
        <w:spacing w:before="120" w:after="80"/>
        <w:ind w:left="578" w:hanging="578"/>
        <w:contextualSpacing w:val="0"/>
        <w:textAlignment w:val="auto"/>
      </w:pPr>
      <w:r w:rsidRPr="0090198F">
        <w:t xml:space="preserve">Předmětem </w:t>
      </w:r>
      <w:r w:rsidR="00AC5E64">
        <w:t xml:space="preserve">díla je </w:t>
      </w:r>
      <w:r w:rsidR="00AC5E64">
        <w:rPr>
          <w:noProof/>
        </w:rPr>
        <w:t>na základě odborné studie</w:t>
      </w:r>
      <w:r w:rsidR="00AC5E64" w:rsidRPr="001447A2">
        <w:rPr>
          <w:noProof/>
        </w:rPr>
        <w:t xml:space="preserve"> ověřit</w:t>
      </w:r>
      <w:r w:rsidR="00AC5E64">
        <w:rPr>
          <w:noProof/>
        </w:rPr>
        <w:t xml:space="preserve"> nové poznatky v oblasti hubení nežádoucích rostlin na železnici v rámci EU a poznatků železničních společností zapojených v UIC nebo CER UIC, které by bylo možné aplikovat na železniční síti v rámci ČR i po roce 2022,  </w:t>
      </w:r>
      <w:r w:rsidR="00AC5E64" w:rsidRPr="00D30C22">
        <w:rPr>
          <w:noProof/>
        </w:rPr>
        <w:t xml:space="preserve">kdy se bude na </w:t>
      </w:r>
      <w:r w:rsidR="00AC5E64">
        <w:rPr>
          <w:noProof/>
        </w:rPr>
        <w:t>úrovni Evropské komise jednat o</w:t>
      </w:r>
      <w:r w:rsidR="00AC5E64" w:rsidRPr="00D30C22">
        <w:rPr>
          <w:noProof/>
        </w:rPr>
        <w:t xml:space="preserve"> prodloužení platnosti použití lá</w:t>
      </w:r>
      <w:r w:rsidR="00AC5E64">
        <w:rPr>
          <w:noProof/>
        </w:rPr>
        <w:t>tek na ochranu rostlin na bázi g</w:t>
      </w:r>
      <w:r w:rsidR="00AC5E64" w:rsidRPr="00D30C22">
        <w:rPr>
          <w:noProof/>
        </w:rPr>
        <w:t>l</w:t>
      </w:r>
      <w:r w:rsidR="00AC5E64">
        <w:rPr>
          <w:noProof/>
        </w:rPr>
        <w:t>yfosátu v oblasti zemědělství a </w:t>
      </w:r>
      <w:r w:rsidR="00AC5E64" w:rsidRPr="00D30C22">
        <w:rPr>
          <w:noProof/>
        </w:rPr>
        <w:t>oblasti komunální</w:t>
      </w:r>
      <w:r w:rsidR="00AC5E64">
        <w:rPr>
          <w:noProof/>
        </w:rPr>
        <w:t>. Součástí výstupu VZ by měl být „</w:t>
      </w:r>
      <w:r w:rsidR="00AC5E64" w:rsidRPr="00A65D98">
        <w:rPr>
          <w:b/>
          <w:bCs/>
          <w:noProof/>
        </w:rPr>
        <w:t>Návrh koncepce hubení nežádoucí vegetace na železniční síti ČR po roce 2022</w:t>
      </w:r>
      <w:r w:rsidR="004B4B08">
        <w:rPr>
          <w:noProof/>
        </w:rPr>
        <w:t>“</w:t>
      </w:r>
      <w:r w:rsidR="00507784">
        <w:t>.</w:t>
      </w:r>
    </w:p>
    <w:p w14:paraId="5B5EC82D" w14:textId="0CAC62D0" w:rsidR="00E300F1" w:rsidRDefault="00E300F1" w:rsidP="00255FBF">
      <w:pPr>
        <w:pStyle w:val="Nadpis2"/>
        <w:spacing w:after="80"/>
        <w:ind w:left="578" w:hanging="578"/>
        <w:contextualSpacing w:val="0"/>
      </w:pPr>
      <w:r>
        <w:t xml:space="preserve">Předmět díla je rozdělený do dvou etap. </w:t>
      </w:r>
    </w:p>
    <w:p w14:paraId="37CA0DFD" w14:textId="30F252C9" w:rsidR="007449A1" w:rsidRDefault="00507784" w:rsidP="00255FBF">
      <w:pPr>
        <w:pStyle w:val="Nadpis2"/>
        <w:spacing w:after="80"/>
        <w:ind w:left="578" w:hanging="578"/>
        <w:contextualSpacing w:val="0"/>
      </w:pPr>
      <w:r w:rsidRPr="00DC44B3">
        <w:t>Předmět díla je blíže specifikován v příloze č</w:t>
      </w:r>
      <w:r w:rsidR="00CD1DA8" w:rsidRPr="00DC44B3">
        <w:t xml:space="preserve">. 1 </w:t>
      </w:r>
      <w:r w:rsidRPr="00DC44B3">
        <w:t>Smlouvy</w:t>
      </w:r>
      <w:r w:rsidR="00E300F1">
        <w:t>.</w:t>
      </w:r>
    </w:p>
    <w:p w14:paraId="620E778C" w14:textId="57E296D2" w:rsidR="004E1498" w:rsidRDefault="004E1498" w:rsidP="00255FBF">
      <w:pPr>
        <w:pStyle w:val="Nadpis2"/>
        <w:spacing w:after="80"/>
        <w:ind w:left="578" w:hanging="578"/>
        <w:contextualSpacing w:val="0"/>
      </w:pPr>
      <w:r w:rsidRPr="000B3839">
        <w:t>Jakost ani provedení Předmětu díla není určeno vzorkem ani předlohou.</w:t>
      </w:r>
    </w:p>
    <w:p w14:paraId="2AC0C903" w14:textId="77777777" w:rsidR="00FA095D" w:rsidRPr="00FA095D" w:rsidRDefault="00FA095D" w:rsidP="00FA095D">
      <w:pPr>
        <w:rPr>
          <w:lang w:eastAsia="cs-CZ"/>
        </w:rPr>
      </w:pPr>
    </w:p>
    <w:p w14:paraId="600D21AE" w14:textId="6CA2DE43" w:rsidR="004E1498" w:rsidRPr="004E1498" w:rsidRDefault="0029605F" w:rsidP="00255FBF">
      <w:pPr>
        <w:pStyle w:val="Nadpis1"/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65CA96F2" w:rsidR="005740C3" w:rsidRDefault="00810E9B" w:rsidP="00255FBF">
      <w:pPr>
        <w:pStyle w:val="Nadpis2"/>
        <w:spacing w:after="80"/>
        <w:ind w:left="578"/>
        <w:contextualSpacing w:val="0"/>
      </w:pPr>
      <w:r w:rsidRPr="00275474">
        <w:t xml:space="preserve">Cena </w:t>
      </w:r>
      <w:r w:rsidR="00C74467">
        <w:t xml:space="preserve">celkem </w:t>
      </w:r>
      <w:r w:rsidRPr="00275474">
        <w:t xml:space="preserve">bez DPH </w:t>
      </w:r>
      <w:r w:rsidRPr="00275474">
        <w:tab/>
      </w:r>
      <w:r w:rsidR="00753F1F">
        <w:tab/>
      </w:r>
      <w:r w:rsidR="00753F1F"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161D1AD1" w:rsidR="005740C3" w:rsidRDefault="00810E9B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Výše DPH 21%     </w:t>
      </w:r>
      <w:r w:rsidRPr="00275474">
        <w:tab/>
      </w:r>
      <w:r w:rsidR="00753F1F">
        <w:tab/>
      </w:r>
      <w:r w:rsidR="00753F1F"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58645625" w:rsidR="00810E9B" w:rsidRDefault="00810E9B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Cena včetně DPH </w:t>
      </w:r>
      <w:r w:rsidRPr="00275474">
        <w:tab/>
      </w:r>
      <w:r w:rsidR="00753F1F">
        <w:tab/>
      </w:r>
      <w:r w:rsidR="00753F1F"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74C65A1D" w14:textId="3080D447" w:rsidR="00753F1F" w:rsidRDefault="00753F1F" w:rsidP="00255FBF">
      <w:pPr>
        <w:pStyle w:val="Nadpis2"/>
        <w:spacing w:after="80"/>
        <w:ind w:left="578"/>
        <w:contextualSpacing w:val="0"/>
      </w:pPr>
      <w:r w:rsidRPr="00275474">
        <w:t xml:space="preserve">Cena </w:t>
      </w:r>
      <w:r>
        <w:t xml:space="preserve">za 1. etapu </w:t>
      </w:r>
      <w:r w:rsidRPr="00275474">
        <w:t xml:space="preserve">bez DPH </w:t>
      </w:r>
      <w:r w:rsidRPr="00275474">
        <w:tab/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87C0471" w14:textId="31D23504" w:rsidR="00753F1F" w:rsidRDefault="00753F1F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Výše DPH 21%     </w:t>
      </w:r>
      <w:r w:rsidRPr="00275474">
        <w:tab/>
        <w:t xml:space="preserve"> </w:t>
      </w:r>
      <w:r>
        <w:tab/>
      </w:r>
      <w:r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8C35145" w14:textId="2D238721" w:rsidR="00753F1F" w:rsidRDefault="00753F1F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Cena </w:t>
      </w:r>
      <w:r>
        <w:t xml:space="preserve">za 1. etapu </w:t>
      </w:r>
      <w:r w:rsidRPr="00275474">
        <w:t xml:space="preserve">včetně DPH </w:t>
      </w:r>
      <w:r w:rsidRPr="00275474">
        <w:tab/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6B86EEFA" w14:textId="3BFE6325" w:rsidR="00753F1F" w:rsidRDefault="00753F1F" w:rsidP="00255FBF">
      <w:pPr>
        <w:pStyle w:val="Nadpis2"/>
        <w:spacing w:after="80"/>
        <w:ind w:left="578"/>
        <w:contextualSpacing w:val="0"/>
      </w:pPr>
      <w:r w:rsidRPr="00275474">
        <w:t xml:space="preserve">Cena </w:t>
      </w:r>
      <w:r>
        <w:t xml:space="preserve">za 2. etapu </w:t>
      </w:r>
      <w:r w:rsidRPr="00275474">
        <w:t xml:space="preserve">bez DPH </w:t>
      </w:r>
      <w:r w:rsidRPr="00275474">
        <w:tab/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328AD3C6" w14:textId="57561A61" w:rsidR="00753F1F" w:rsidRDefault="00753F1F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Výše DPH 21%     </w:t>
      </w:r>
      <w:r w:rsidRPr="00275474">
        <w:tab/>
      </w:r>
      <w:r>
        <w:tab/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2EB1C96" w14:textId="0CBB3A1C" w:rsidR="00753F1F" w:rsidRDefault="00753F1F" w:rsidP="00255FBF">
      <w:pPr>
        <w:pStyle w:val="Nadpis2"/>
        <w:numPr>
          <w:ilvl w:val="0"/>
          <w:numId w:val="0"/>
        </w:numPr>
        <w:spacing w:after="80"/>
        <w:ind w:left="578"/>
        <w:contextualSpacing w:val="0"/>
      </w:pPr>
      <w:r w:rsidRPr="00275474">
        <w:t xml:space="preserve">Cena </w:t>
      </w:r>
      <w:r>
        <w:t>za 2. etapu včetně</w:t>
      </w:r>
      <w:r w:rsidRPr="00275474">
        <w:t xml:space="preserve"> DPH </w:t>
      </w:r>
      <w:r w:rsidRPr="00275474">
        <w:tab/>
      </w:r>
      <w:r>
        <w:tab/>
      </w:r>
      <w:r w:rsidRPr="00275474"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55BE185" w14:textId="4450FF3E" w:rsidR="00DC44B3" w:rsidRPr="00753F1F" w:rsidRDefault="00FF4B26" w:rsidP="00255FBF">
      <w:pPr>
        <w:pStyle w:val="Nadpis2"/>
      </w:pPr>
      <w:r w:rsidRPr="00753F1F">
        <w:t xml:space="preserve">Fakturace bude provedena </w:t>
      </w:r>
      <w:r w:rsidR="005151D4" w:rsidRPr="00753F1F">
        <w:t>vždy po realizaci jednotlivé etapy uvedené v</w:t>
      </w:r>
      <w:r w:rsidR="00753F1F" w:rsidRPr="00753F1F">
        <w:t> Příloze č. 1 této Smlouvy.</w:t>
      </w:r>
      <w:r w:rsidR="00CD5A60">
        <w:t xml:space="preserve"> Zhotovitel je oprávněn zaslat Objednateli</w:t>
      </w:r>
      <w:r w:rsidR="00E760BC">
        <w:t xml:space="preserve"> fakturu po předání závěrečné zprávy z každé etapy, a to 2x v tištěné verzi a 3x v digitální verzi ve formátu pdf.</w:t>
      </w:r>
    </w:p>
    <w:p w14:paraId="56194180" w14:textId="6B519F5F" w:rsidR="00DC44B3" w:rsidRPr="00DC44B3" w:rsidRDefault="00DC44B3" w:rsidP="00255FBF">
      <w:pPr>
        <w:pStyle w:val="Nadpis2"/>
      </w:pPr>
      <w:r w:rsidRPr="00DC44B3">
        <w:t>Vzhledem ke skutečnosti, že předmět plnění je spolufinancován z fondů SFDI, splatnost faktury činí 60 dní ode dne doručení kupujícímu.</w:t>
      </w:r>
    </w:p>
    <w:p w14:paraId="1AFBED57" w14:textId="77777777" w:rsidR="004E1498" w:rsidRPr="0090198F" w:rsidRDefault="004E1498" w:rsidP="00592757">
      <w:pPr>
        <w:pStyle w:val="Nadpis1"/>
        <w:rPr>
          <w:rFonts w:eastAsia="Times New Roman"/>
          <w:lang w:eastAsia="cs-CZ"/>
        </w:rPr>
      </w:pPr>
      <w:r w:rsidRPr="0090198F">
        <w:rPr>
          <w:rFonts w:eastAsia="Times New Roman"/>
          <w:lang w:eastAsia="cs-CZ"/>
        </w:rPr>
        <w:t>Místo a doba plnění</w:t>
      </w:r>
    </w:p>
    <w:p w14:paraId="4DCCF507" w14:textId="777D7FA1" w:rsidR="004E1498" w:rsidRPr="000F2AB5" w:rsidRDefault="004E1498" w:rsidP="00255FBF">
      <w:pPr>
        <w:pStyle w:val="Nadpis2"/>
        <w:spacing w:after="80"/>
        <w:contextualSpacing w:val="0"/>
      </w:pPr>
      <w:r w:rsidRPr="000F2AB5">
        <w:t>Místem plnění je</w:t>
      </w:r>
      <w:r w:rsidR="00A02EDD" w:rsidRPr="000F2AB5">
        <w:t xml:space="preserve"> Správa železnic, státní organizace, Generální ředitelství, Dlážděná 1003/7, Praha 1 – Nové Město, PSČ 110 00.</w:t>
      </w:r>
    </w:p>
    <w:p w14:paraId="639D5107" w14:textId="4D769623" w:rsidR="006B0F85" w:rsidRPr="00255FBF" w:rsidRDefault="00CD1DA8" w:rsidP="00255FBF">
      <w:pPr>
        <w:pStyle w:val="Nadpis2"/>
        <w:spacing w:after="80"/>
        <w:contextualSpacing w:val="0"/>
      </w:pPr>
      <w:r w:rsidRPr="00255FBF">
        <w:t xml:space="preserve">Zhotovitel je povinen provést a předat </w:t>
      </w:r>
      <w:r w:rsidR="000F2AB5">
        <w:t>první</w:t>
      </w:r>
      <w:r w:rsidR="00255FBF" w:rsidRPr="00255FBF">
        <w:t xml:space="preserve"> část Díla (1. etapa) nejpozději do 6 měsíc</w:t>
      </w:r>
      <w:r w:rsidR="000F2AB5">
        <w:t>ů od účinnosti této smlouvy a druhou</w:t>
      </w:r>
      <w:r w:rsidR="00255FBF" w:rsidRPr="00255FBF">
        <w:t xml:space="preserve"> část Díla</w:t>
      </w:r>
      <w:r w:rsidRPr="00255FBF">
        <w:t xml:space="preserve"> </w:t>
      </w:r>
      <w:r w:rsidR="00F21405">
        <w:t xml:space="preserve">(2. etapa) nejpozději </w:t>
      </w:r>
      <w:bookmarkStart w:id="0" w:name="_GoBack"/>
      <w:bookmarkEnd w:id="0"/>
      <w:r w:rsidR="00332C34">
        <w:t>do 15. 2. 2023</w:t>
      </w:r>
      <w:r w:rsidRPr="00255FBF">
        <w:t>.</w:t>
      </w:r>
      <w:r w:rsidR="006B0F85" w:rsidRPr="00255FBF">
        <w:t xml:space="preserve"> </w:t>
      </w:r>
    </w:p>
    <w:p w14:paraId="69FE07DB" w14:textId="7F5A6A0F" w:rsidR="00B51DCE" w:rsidRDefault="00B51DCE" w:rsidP="00255FBF">
      <w:pPr>
        <w:pStyle w:val="Nadpis2"/>
        <w:spacing w:after="80"/>
        <w:contextualSpacing w:val="0"/>
      </w:pPr>
      <w:r w:rsidRPr="00194411">
        <w:t xml:space="preserve">Harmonogram, jenž </w:t>
      </w:r>
      <w:r>
        <w:t>obsahuje</w:t>
      </w:r>
      <w:r w:rsidRPr="00194411">
        <w:t xml:space="preserve"> podrobnější časo</w:t>
      </w:r>
      <w:r>
        <w:t>vou specifikaci provádění Díla, je přílohou č. 2 této Smlouvy.</w:t>
      </w:r>
    </w:p>
    <w:p w14:paraId="7DF1A10D" w14:textId="697BE4F3" w:rsidR="00255FBF" w:rsidRPr="00255FBF" w:rsidRDefault="00255FBF" w:rsidP="00255FBF">
      <w:pPr>
        <w:pStyle w:val="Nadpis1"/>
        <w:rPr>
          <w:rFonts w:eastAsia="Times New Roman"/>
          <w:lang w:eastAsia="cs-CZ"/>
        </w:rPr>
      </w:pPr>
      <w:r w:rsidRPr="00255FBF">
        <w:rPr>
          <w:rFonts w:eastAsia="Times New Roman"/>
          <w:lang w:eastAsia="cs-CZ"/>
        </w:rPr>
        <w:t>Předání díla, připomínkové řízení a akceptace díla</w:t>
      </w:r>
    </w:p>
    <w:p w14:paraId="39BC5BEB" w14:textId="5BB26D57" w:rsidR="00255FBF" w:rsidRPr="00255FBF" w:rsidRDefault="00255FBF" w:rsidP="00255FBF">
      <w:pPr>
        <w:pStyle w:val="Nadpis2"/>
        <w:spacing w:after="80"/>
        <w:ind w:left="578" w:hanging="578"/>
        <w:contextualSpacing w:val="0"/>
      </w:pPr>
      <w:r w:rsidRPr="00255FBF">
        <w:t xml:space="preserve">Dílo nebo část díla je řádně provedeno, je-li dokončeno a předáno a nemá-li k němu Objednatel žádné připomínky, nebo odsouhlasil-li Objednatel Zhotoviteli zapracované připomínky v připomínkovém řízení. V takovém případě jsou smluvní strany povinny stvrdit provedení Díla nebo jeho části akceptací v akceptačním protokolu, podepsaném oběma smluvními stranami. </w:t>
      </w:r>
    </w:p>
    <w:p w14:paraId="0A1F2B4E" w14:textId="73250632" w:rsidR="00255FBF" w:rsidRPr="00255FBF" w:rsidRDefault="00255FBF" w:rsidP="00255FBF">
      <w:pPr>
        <w:pStyle w:val="Nadpis2"/>
        <w:spacing w:after="80"/>
        <w:ind w:left="578" w:hanging="578"/>
        <w:contextualSpacing w:val="0"/>
      </w:pPr>
      <w:r w:rsidRPr="00857B54">
        <w:t>Předání částí díla proběhne v digitální ověřené formě</w:t>
      </w:r>
      <w:r w:rsidRPr="00255FBF">
        <w:t xml:space="preserve"> (formát PDF a elektronický podpis) ve trojím vyhotovení na CD nosiči a trojí vyhotovení v tištěné formě formou brožury, a to ve lhůtách uvedených v čl. 4.3 této Smlouvy. </w:t>
      </w:r>
    </w:p>
    <w:p w14:paraId="68CCF626" w14:textId="14C293AA" w:rsidR="00255FBF" w:rsidRPr="00255FBF" w:rsidRDefault="00255FBF" w:rsidP="00255FBF">
      <w:pPr>
        <w:pStyle w:val="Nadpis2"/>
        <w:spacing w:after="80"/>
        <w:ind w:left="578" w:hanging="578"/>
        <w:contextualSpacing w:val="0"/>
      </w:pPr>
      <w:r w:rsidRPr="00255FBF">
        <w:t>Do 14 kalendářních dnů po předání každé části díla proběhne připomínkové řízení v rámci Správy železnic k dané části. Připomínky z těchto připomínkových řízení zapracuje Zhotovitel nejpozději do 7 pracovních dnů od jejich doručení Zhotoviteli. Poruší-li Zhotovitel povinnost zapracovat připomínky ve sjednané době dle předchozí věty, je Zhotovitel povinen uhradit Objednateli smluvní pokutu ve výši 0,</w:t>
      </w:r>
      <w:r>
        <w:t>1</w:t>
      </w:r>
      <w:r w:rsidRPr="00255FBF">
        <w:t xml:space="preserve"> % z Ceny části díla za každý den prodlení.</w:t>
      </w:r>
    </w:p>
    <w:p w14:paraId="47DF8A86" w14:textId="27A3226C" w:rsidR="00255FBF" w:rsidRDefault="00255FBF" w:rsidP="00255FBF">
      <w:pPr>
        <w:pStyle w:val="Nadpis2"/>
        <w:spacing w:after="80"/>
        <w:ind w:left="578" w:hanging="578"/>
        <w:contextualSpacing w:val="0"/>
      </w:pPr>
      <w:r w:rsidRPr="00255FBF">
        <w:t>Připomínkové řízení může proběhnout i opakovaně.</w:t>
      </w:r>
    </w:p>
    <w:p w14:paraId="38280017" w14:textId="5321845B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5C773014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DC44B3">
        <w:t>24 měsíců.</w:t>
      </w:r>
    </w:p>
    <w:p w14:paraId="700C0934" w14:textId="460E8D3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  <w:r w:rsidR="00D465AE">
        <w:rPr>
          <w:rFonts w:eastAsia="Times New Roman"/>
          <w:lang w:eastAsia="cs-CZ"/>
        </w:rPr>
        <w:t>a realizační tým</w:t>
      </w:r>
    </w:p>
    <w:p w14:paraId="49EDB6A2" w14:textId="1BFDA019" w:rsidR="004B4B08" w:rsidRPr="000B3839" w:rsidRDefault="004B4B08" w:rsidP="00255FBF">
      <w:pPr>
        <w:pStyle w:val="Nadpis2"/>
      </w:pPr>
      <w:r>
        <w:t>Zhotovitel se zavazuje</w:t>
      </w:r>
      <w:r w:rsidRPr="007449A1">
        <w:t xml:space="preserve">, </w:t>
      </w:r>
      <w:r>
        <w:t xml:space="preserve">že </w:t>
      </w:r>
      <w:r w:rsidRPr="007449A1">
        <w:t xml:space="preserve">významné činnosti uvedené v bodu 1.1 písm. a) až e) a v bodu 1.2 písm. e) Přílohy č. </w:t>
      </w:r>
      <w:r>
        <w:t>1</w:t>
      </w:r>
      <w:r w:rsidRPr="007449A1">
        <w:t xml:space="preserve"> této </w:t>
      </w:r>
      <w:r>
        <w:t>Smlouvy</w:t>
      </w:r>
      <w:r w:rsidRPr="007449A1">
        <w:t xml:space="preserve"> </w:t>
      </w:r>
      <w:r>
        <w:t xml:space="preserve">budou plněny přímo Zhotovitelem. V případě porušení této povinnosti je Zhotovitel povinen Objednateli zaplatit smluvní pokutu ve výši 10.000 Kč za každé jednotlivé porušení této povinnosti. </w:t>
      </w:r>
    </w:p>
    <w:p w14:paraId="18CA0036" w14:textId="0D734A62" w:rsidR="004E1498" w:rsidRPr="004E1498" w:rsidRDefault="004E1498" w:rsidP="00255FBF">
      <w:pPr>
        <w:pStyle w:val="Nadpis2"/>
      </w:pPr>
      <w:r w:rsidRPr="004E1498">
        <w:t>Na pro</w:t>
      </w:r>
      <w:r w:rsidR="000D278B">
        <w:t>vedení Díla se budou podílet pod</w:t>
      </w:r>
      <w:r w:rsidRPr="004E1498">
        <w:t xml:space="preserve">dodavatelé </w:t>
      </w:r>
      <w:r w:rsidRPr="00194411">
        <w:t>uvedení v příloze č</w:t>
      </w:r>
      <w:r w:rsidR="00FD350E" w:rsidRPr="00194411">
        <w:t xml:space="preserve">. </w:t>
      </w:r>
      <w:r w:rsidR="00194411" w:rsidRPr="00194411">
        <w:t>5</w:t>
      </w:r>
      <w:r w:rsidR="00305D99" w:rsidRPr="00194411">
        <w:t xml:space="preserve"> </w:t>
      </w:r>
      <w:r w:rsidR="006566F7" w:rsidRPr="00194411">
        <w:t>této S</w:t>
      </w:r>
      <w:r w:rsidRPr="00194411">
        <w:t>mlouvy.</w:t>
      </w:r>
      <w:r w:rsidRPr="004E1498">
        <w:t xml:space="preserve"> </w:t>
      </w:r>
    </w:p>
    <w:p w14:paraId="2529729E" w14:textId="2DBE12C8" w:rsidR="00E55600" w:rsidRDefault="00A02EE7" w:rsidP="00255FBF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</w:t>
      </w:r>
      <w:r w:rsidR="00255FBF">
        <w:rPr>
          <w:rFonts w:eastAsia="Times New Roman" w:cs="Times New Roman"/>
          <w:highlight w:val="green"/>
          <w:lang w:eastAsia="cs-CZ"/>
        </w:rPr>
        <w:t>ddodavatelé, dodavatel do bodu 7.2</w:t>
      </w:r>
      <w:r w:rsidRPr="009B4030">
        <w:rPr>
          <w:rFonts w:eastAsia="Times New Roman" w:cs="Times New Roman"/>
          <w:highlight w:val="green"/>
          <w:lang w:eastAsia="cs-CZ"/>
        </w:rPr>
        <w:t xml:space="preserve"> napíše: „Na provedení Díla se nebudou podílet poddodavatelé</w:t>
      </w:r>
      <w:r w:rsidR="00973F58">
        <w:rPr>
          <w:rFonts w:eastAsia="Times New Roman" w:cs="Times New Roman"/>
          <w:highlight w:val="green"/>
          <w:lang w:eastAsia="cs-CZ"/>
        </w:rPr>
        <w:t>“</w:t>
      </w:r>
      <w:r w:rsidRPr="009B4030">
        <w:rPr>
          <w:rFonts w:eastAsia="Times New Roman" w:cs="Times New Roman"/>
          <w:highlight w:val="green"/>
          <w:lang w:eastAsia="cs-CZ"/>
        </w:rPr>
        <w:t xml:space="preserve"> a vymaže </w:t>
      </w:r>
      <w:r w:rsidR="00E55600">
        <w:rPr>
          <w:rFonts w:eastAsia="Times New Roman" w:cs="Times New Roman"/>
          <w:highlight w:val="green"/>
          <w:lang w:eastAsia="cs-CZ"/>
        </w:rPr>
        <w:t>tuto položku ze seznamu příloh</w:t>
      </w:r>
      <w:r w:rsidR="00E55600" w:rsidRPr="00E55600">
        <w:rPr>
          <w:rFonts w:eastAsia="Times New Roman" w:cs="Times New Roman"/>
          <w:lang w:eastAsia="cs-CZ"/>
        </w:rPr>
        <w:t>).</w:t>
      </w:r>
    </w:p>
    <w:p w14:paraId="4D68B025" w14:textId="22A6BA36" w:rsidR="00305D99" w:rsidRPr="00194411" w:rsidRDefault="00305D99" w:rsidP="00255FBF">
      <w:pPr>
        <w:pStyle w:val="Nadpis2"/>
      </w:pPr>
      <w:r w:rsidRPr="00194411">
        <w:lastRenderedPageBreak/>
        <w:t>Na provedení Díla se budou podílet členové realizačního týmu uvedení v příloze č…</w:t>
      </w:r>
      <w:r w:rsidR="00194411" w:rsidRPr="00194411">
        <w:t>4</w:t>
      </w:r>
      <w:r w:rsidRPr="00194411">
        <w:t>…této Smlouvy.</w:t>
      </w:r>
    </w:p>
    <w:p w14:paraId="0A27A888" w14:textId="0FB79EA0" w:rsidR="00305D99" w:rsidRDefault="00305D99" w:rsidP="00255FBF">
      <w:pPr>
        <w:spacing w:after="0" w:line="240" w:lineRule="auto"/>
        <w:ind w:left="567"/>
        <w:contextualSpacing/>
        <w:jc w:val="both"/>
      </w:pPr>
      <w:r w:rsidRPr="00194411">
        <w:t>Zhotovitel může v průběhu plnění Předmětu díla nahradit některé osoby z osob, uvedených v seznamu realizačního týmu dle přílohy č</w:t>
      </w:r>
      <w:r w:rsidR="00194411" w:rsidRPr="00194411">
        <w:t>. 4</w:t>
      </w:r>
      <w:r w:rsidRPr="00194411">
        <w:t xml:space="preserve">  této Smlouvy, pouze po předchozím souhlasu Objednatele na základě písemné žádosti Zhotovitele. V případě, že Zhotovitel požádá o změnu některých členů realizační</w:t>
      </w:r>
      <w:r w:rsidR="00194411" w:rsidRPr="00194411">
        <w:t>ho týmu uvedeného v příloze č. 4</w:t>
      </w:r>
      <w:r w:rsidRPr="00194411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DE4C746" w14:textId="77777777" w:rsidR="00305D99" w:rsidRDefault="00305D99" w:rsidP="00255FBF">
      <w:pPr>
        <w:spacing w:after="0" w:line="240" w:lineRule="auto"/>
        <w:ind w:left="567"/>
        <w:contextualSpacing/>
        <w:jc w:val="both"/>
        <w:rPr>
          <w:rFonts w:eastAsia="Times New Roman" w:cs="Times New Roman"/>
          <w:lang w:eastAsia="cs-CZ"/>
        </w:rPr>
      </w:pPr>
    </w:p>
    <w:p w14:paraId="30DAB98E" w14:textId="0385F032" w:rsidR="003A5347" w:rsidRPr="003A5347" w:rsidRDefault="004E1498" w:rsidP="00255FBF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255FBF">
      <w:pPr>
        <w:pStyle w:val="Nadpis2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255FBF">
      <w:pPr>
        <w:pStyle w:val="Nadpis2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6270385" w:rsidR="004E1498" w:rsidRPr="00FA095D" w:rsidRDefault="004E1498" w:rsidP="00255FBF">
      <w:pPr>
        <w:pStyle w:val="Nadpis3"/>
        <w:rPr>
          <w:highlight w:val="lightGray"/>
        </w:rPr>
      </w:pPr>
      <w:r w:rsidRPr="00FA095D">
        <w:rPr>
          <w:highlight w:val="lightGray"/>
        </w:rPr>
        <w:t xml:space="preserve">za </w:t>
      </w:r>
      <w:r w:rsidR="00FA095D" w:rsidRPr="00FA095D">
        <w:rPr>
          <w:highlight w:val="lightGray"/>
        </w:rPr>
        <w:t>Objednatele p. ……………………, tel. …………………, email …………………….</w:t>
      </w:r>
    </w:p>
    <w:p w14:paraId="1C513CD4" w14:textId="4CC511DB" w:rsidR="004E1498" w:rsidRPr="009B4030" w:rsidRDefault="004E1498" w:rsidP="00255FBF">
      <w:pPr>
        <w:pStyle w:val="Nadpis3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3493C673" w14:textId="077C7C93" w:rsidR="00753F1F" w:rsidRPr="00753F1F" w:rsidRDefault="00753F1F" w:rsidP="00255FBF">
      <w:pPr>
        <w:pStyle w:val="Nadpis2"/>
      </w:pPr>
      <w:r w:rsidRPr="00D17739">
        <w:t>Objednatel se zavazuje poskytnout</w:t>
      </w:r>
      <w:r>
        <w:t xml:space="preserve"> Z</w:t>
      </w:r>
      <w:r w:rsidRPr="00D17739">
        <w:t xml:space="preserve">hotoviteli vybraný demonstrační úsek k zajištění praktického testování v rámci plnění druhé etapy předmětu smlouvy a umožnit </w:t>
      </w:r>
      <w:r>
        <w:t>Z</w:t>
      </w:r>
      <w:r w:rsidRPr="00D17739">
        <w:t>hotoviteli přístup do svých prostor ve vybraném demonstračním úseku.</w:t>
      </w:r>
      <w:r w:rsidR="000F2AB5">
        <w:t xml:space="preserve"> Konkrétní úsek bude Objednatelem upřesněn v průběhu plnění 1. etapy. </w:t>
      </w:r>
    </w:p>
    <w:p w14:paraId="739753B3" w14:textId="78BAE297" w:rsidR="004E1498" w:rsidRPr="00D9782E" w:rsidRDefault="004E1498" w:rsidP="00255FBF">
      <w:pPr>
        <w:pStyle w:val="Nadpis2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255FBF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255FBF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255FBF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255FBF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255FBF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255FBF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Závěrečná ujednání</w:t>
      </w:r>
    </w:p>
    <w:p w14:paraId="3E50101D" w14:textId="6767AFA5" w:rsidR="004E1498" w:rsidRPr="004E1498" w:rsidRDefault="004E1498" w:rsidP="00255FBF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55FBF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255FBF">
      <w:pPr>
        <w:pStyle w:val="Nadpis3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255FBF">
      <w:pPr>
        <w:pStyle w:val="Nadpis3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255FBF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255FBF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55FBF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55FBF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55FBF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255FBF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255FBF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255FBF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57C24ABA" w:rsidR="004E1498" w:rsidRPr="004B4B08" w:rsidRDefault="004E1498" w:rsidP="00255FBF">
      <w:pPr>
        <w:pStyle w:val="Nadpis2"/>
        <w:ind w:left="567" w:hanging="567"/>
      </w:pPr>
      <w:r w:rsidRPr="004B4B08">
        <w:rPr>
          <w:rFonts w:eastAsia="Calibri"/>
        </w:rPr>
        <w:t xml:space="preserve">Tato </w:t>
      </w:r>
      <w:r w:rsidR="00D9782E" w:rsidRPr="004B4B08">
        <w:rPr>
          <w:rFonts w:eastAsia="Calibri"/>
        </w:rPr>
        <w:t>Sml</w:t>
      </w:r>
      <w:r w:rsidRPr="004B4B08">
        <w:rPr>
          <w:rFonts w:eastAsia="Calibri"/>
        </w:rPr>
        <w:t xml:space="preserve">ouva nabývá platnosti okamžikem podpisu poslední ze </w:t>
      </w:r>
      <w:r w:rsidR="00D9782E" w:rsidRPr="004B4B08">
        <w:rPr>
          <w:rFonts w:eastAsia="Calibri"/>
        </w:rPr>
        <w:t>Sml</w:t>
      </w:r>
      <w:r w:rsidRPr="004B4B08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255FB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0D14586B" w:rsidR="004E1498" w:rsidRPr="00507784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07784">
        <w:rPr>
          <w:rFonts w:eastAsia="Times New Roman" w:cs="Times New Roman"/>
          <w:b/>
          <w:lang w:eastAsia="cs-CZ"/>
        </w:rPr>
        <w:t>Přílohy</w:t>
      </w:r>
    </w:p>
    <w:p w14:paraId="14D80F6E" w14:textId="799C5413" w:rsidR="00507784" w:rsidRPr="00DC44B3" w:rsidRDefault="00507784" w:rsidP="005077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C44B3">
        <w:rPr>
          <w:rFonts w:eastAsia="Times New Roman" w:cs="Times New Roman"/>
          <w:lang w:eastAsia="cs-CZ"/>
        </w:rPr>
        <w:t>Bližší specifikace</w:t>
      </w:r>
    </w:p>
    <w:p w14:paraId="0AE5CD62" w14:textId="2729B37C" w:rsidR="002619FA" w:rsidRPr="00194411" w:rsidRDefault="002619FA" w:rsidP="002619FA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4411">
        <w:rPr>
          <w:rFonts w:eastAsia="Times New Roman" w:cs="Times New Roman"/>
          <w:lang w:eastAsia="cs-CZ"/>
        </w:rPr>
        <w:t>Harmonogram</w:t>
      </w:r>
      <w:r w:rsidR="00B51DCE">
        <w:rPr>
          <w:rFonts w:eastAsia="Times New Roman" w:cs="Times New Roman"/>
          <w:lang w:eastAsia="cs-CZ"/>
        </w:rPr>
        <w:t xml:space="preserve"> – </w:t>
      </w:r>
      <w:r w:rsidR="00B51DCE" w:rsidRPr="00B51DCE">
        <w:rPr>
          <w:rFonts w:eastAsia="Times New Roman" w:cs="Times New Roman"/>
          <w:highlight w:val="green"/>
          <w:lang w:eastAsia="cs-CZ"/>
        </w:rPr>
        <w:t>doplní Zhotovitel</w:t>
      </w:r>
    </w:p>
    <w:p w14:paraId="4FF06446" w14:textId="17BBC811" w:rsidR="00D465AE" w:rsidRPr="00D575E8" w:rsidRDefault="00D465AE" w:rsidP="008E37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5E8">
        <w:rPr>
          <w:rFonts w:eastAsia="Times New Roman" w:cs="Times New Roman"/>
          <w:lang w:eastAsia="cs-CZ"/>
        </w:rPr>
        <w:t>Obchodní podmínky</w:t>
      </w:r>
    </w:p>
    <w:p w14:paraId="19F6F631" w14:textId="126EA3FB" w:rsidR="00232D68" w:rsidRPr="00D575E8" w:rsidRDefault="00232D68" w:rsidP="008E374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575E8">
        <w:t>Seznam realizačního týmu</w:t>
      </w:r>
      <w:r w:rsidR="00D575E8">
        <w:t xml:space="preserve"> </w:t>
      </w:r>
      <w:r w:rsidR="00D575E8" w:rsidRPr="00376BB5">
        <w:rPr>
          <w:rFonts w:eastAsia="Times New Roman" w:cs="Times New Roman"/>
          <w:lang w:eastAsia="cs-CZ"/>
        </w:rPr>
        <w:t xml:space="preserve">– </w:t>
      </w:r>
      <w:r w:rsidR="00D575E8" w:rsidRPr="00376BB5">
        <w:rPr>
          <w:rFonts w:eastAsia="Times New Roman" w:cs="Times New Roman"/>
          <w:highlight w:val="green"/>
          <w:lang w:eastAsia="cs-CZ"/>
        </w:rPr>
        <w:t>doplní Zhotovitel</w:t>
      </w:r>
    </w:p>
    <w:p w14:paraId="7A1745A7" w14:textId="77777777" w:rsidR="00507784" w:rsidRDefault="00507784" w:rsidP="0050778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76BB5">
        <w:rPr>
          <w:rFonts w:eastAsia="Times New Roman" w:cs="Times New Roman"/>
          <w:lang w:eastAsia="cs-CZ"/>
        </w:rPr>
        <w:t xml:space="preserve">Seznam poddodavatelů – </w:t>
      </w:r>
      <w:r w:rsidRPr="00376BB5">
        <w:rPr>
          <w:rFonts w:eastAsia="Times New Roman" w:cs="Times New Roman"/>
          <w:highlight w:val="green"/>
          <w:lang w:eastAsia="cs-CZ"/>
        </w:rPr>
        <w:t>doplní Zhotovitel</w:t>
      </w:r>
    </w:p>
    <w:p w14:paraId="769023A7" w14:textId="77777777" w:rsidR="008E3744" w:rsidRPr="00376BB5" w:rsidRDefault="008E3744" w:rsidP="008E374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376BB5">
        <w:rPr>
          <w:rFonts w:eastAsia="Times New Roman" w:cs="Times New Roman"/>
          <w:lang w:eastAsia="cs-CZ"/>
        </w:rPr>
        <w:t xml:space="preserve">Plná moc </w:t>
      </w:r>
      <w:r w:rsidRPr="00376BB5">
        <w:rPr>
          <w:rFonts w:eastAsia="Times New Roman" w:cs="Times New Roman"/>
          <w:highlight w:val="green"/>
          <w:lang w:eastAsia="cs-CZ"/>
        </w:rPr>
        <w:t>(pouze v případě zastoupení zhotovitele osobou na základě plné moci</w:t>
      </w:r>
      <w:r w:rsidRPr="00376BB5">
        <w:rPr>
          <w:rFonts w:eastAsia="Times New Roman" w:cs="Times New Roman"/>
          <w:lang w:eastAsia="cs-CZ"/>
        </w:rPr>
        <w:t>)</w:t>
      </w:r>
    </w:p>
    <w:p w14:paraId="64EEE3E6" w14:textId="0627C20E" w:rsidR="006E6E61" w:rsidRPr="009B4030" w:rsidRDefault="006E6E61" w:rsidP="008E3744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1D3E53B9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6C9DE70B" w:rsidR="00613238" w:rsidRDefault="00FF4B26" w:rsidP="00613238">
      <w:pPr>
        <w:spacing w:after="0" w:line="276" w:lineRule="auto"/>
        <w:rPr>
          <w:rFonts w:asciiTheme="majorHAnsi" w:hAnsiTheme="majorHAnsi"/>
        </w:rPr>
      </w:pPr>
      <w:r w:rsidRPr="0000602F">
        <w:rPr>
          <w:b/>
        </w:rPr>
        <w:t>Ing. Marcel</w:t>
      </w:r>
      <w:r>
        <w:rPr>
          <w:b/>
        </w:rPr>
        <w:t>a</w:t>
      </w:r>
      <w:r w:rsidRPr="0000602F">
        <w:rPr>
          <w:b/>
        </w:rPr>
        <w:t xml:space="preserve"> Pernicov</w:t>
      </w:r>
      <w:r>
        <w:rPr>
          <w:b/>
        </w:rPr>
        <w:t>á</w:t>
      </w:r>
      <w:r w:rsidR="00613238" w:rsidRPr="009B4030">
        <w:rPr>
          <w:rFonts w:asciiTheme="majorHAnsi" w:hAnsiTheme="majorHAnsi"/>
        </w:rPr>
        <w:t xml:space="preserve"> </w:t>
      </w:r>
      <w:r w:rsidR="00664F50">
        <w:rPr>
          <w:rFonts w:asciiTheme="majorHAnsi" w:hAnsiTheme="majorHAnsi"/>
        </w:rPr>
        <w:t xml:space="preserve">       </w:t>
      </w:r>
      <w:r w:rsidR="00613238" w:rsidRPr="009B4030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705DEBA1" w:rsidR="00D9782E" w:rsidRDefault="00FF4B26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t>náměstkyně</w:t>
      </w:r>
      <w:r w:rsidRPr="0000602F">
        <w:t xml:space="preserve"> GŘ pro provozuschopnost</w:t>
      </w:r>
      <w:r w:rsidRPr="008672C8">
        <w:t xml:space="preserve"> </w:t>
      </w:r>
      <w:r w:rsidR="00664F50">
        <w:t>dráhy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2F650" w14:textId="77777777" w:rsidR="00E31682" w:rsidRDefault="00E31682" w:rsidP="00962258">
      <w:pPr>
        <w:spacing w:after="0" w:line="240" w:lineRule="auto"/>
      </w:pPr>
      <w:r>
        <w:separator/>
      </w:r>
    </w:p>
  </w:endnote>
  <w:endnote w:type="continuationSeparator" w:id="0">
    <w:p w14:paraId="2873864A" w14:textId="77777777" w:rsidR="00E31682" w:rsidRDefault="00E316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ABA309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C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2C3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399551" wp14:editId="15E9A6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78D3F0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3FB020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9129E8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221CCB9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2C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2C3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BA9170" wp14:editId="63B011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4E17C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749306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E5E57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D4EABA" w14:textId="77777777" w:rsidR="00E31682" w:rsidRDefault="00E31682" w:rsidP="00962258">
      <w:pPr>
        <w:spacing w:after="0" w:line="240" w:lineRule="auto"/>
      </w:pPr>
      <w:r>
        <w:separator/>
      </w:r>
    </w:p>
  </w:footnote>
  <w:footnote w:type="continuationSeparator" w:id="0">
    <w:p w14:paraId="45491F7A" w14:textId="77777777" w:rsidR="00E31682" w:rsidRDefault="00E316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28FADC4B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AC98030" w:rsidR="00F1715C" w:rsidRPr="00D6163D" w:rsidRDefault="00F1715C" w:rsidP="00D6163D">
          <w:pPr>
            <w:pStyle w:val="Druhdokumentu"/>
          </w:pPr>
        </w:p>
      </w:tc>
    </w:tr>
  </w:tbl>
  <w:p w14:paraId="145FA93F" w14:textId="3AE201BD" w:rsidR="00F1715C" w:rsidRPr="00D6163D" w:rsidRDefault="00D56D1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B102E27" wp14:editId="57669832">
          <wp:simplePos x="0" y="0"/>
          <wp:positionH relativeFrom="column">
            <wp:posOffset>2025015</wp:posOffset>
          </wp:positionH>
          <wp:positionV relativeFrom="paragraph">
            <wp:posOffset>-760095</wp:posOffset>
          </wp:positionV>
          <wp:extent cx="1248442" cy="720000"/>
          <wp:effectExtent l="0" t="0" r="0" b="4445"/>
          <wp:wrapSquare wrapText="bothSides"/>
          <wp:docPr id="4" name="Obrázek 4" descr="C:\Users\SirokaA\Desktop\SFDI logo\malé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irokaA\Desktop\SFDI logo\malé\JPG\logo-barv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42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0" behindDoc="0" locked="1" layoutInCell="1" allowOverlap="1" wp14:anchorId="1DF84C8B" wp14:editId="62E4196B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505CA8"/>
    <w:multiLevelType w:val="hybridMultilevel"/>
    <w:tmpl w:val="D6588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934B34"/>
    <w:multiLevelType w:val="hybridMultilevel"/>
    <w:tmpl w:val="C34EFA38"/>
    <w:lvl w:ilvl="0" w:tplc="6D8296A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9C72029"/>
    <w:multiLevelType w:val="hybridMultilevel"/>
    <w:tmpl w:val="E91EAB4C"/>
    <w:lvl w:ilvl="0" w:tplc="6D8296A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FA81778"/>
    <w:multiLevelType w:val="hybridMultilevel"/>
    <w:tmpl w:val="F3B043A2"/>
    <w:lvl w:ilvl="0" w:tplc="6D8296AC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4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5"/>
  </w:num>
  <w:num w:numId="28">
    <w:abstractNumId w:val="7"/>
  </w:num>
  <w:num w:numId="29">
    <w:abstractNumId w:val="25"/>
  </w:num>
  <w:num w:numId="30">
    <w:abstractNumId w:val="23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A3A"/>
    <w:rsid w:val="000645D6"/>
    <w:rsid w:val="00072C1E"/>
    <w:rsid w:val="00073A69"/>
    <w:rsid w:val="000814B9"/>
    <w:rsid w:val="000853E9"/>
    <w:rsid w:val="000877BD"/>
    <w:rsid w:val="0009459A"/>
    <w:rsid w:val="00095EC3"/>
    <w:rsid w:val="000A13BC"/>
    <w:rsid w:val="000A3F85"/>
    <w:rsid w:val="000B07A8"/>
    <w:rsid w:val="000B324A"/>
    <w:rsid w:val="000B3839"/>
    <w:rsid w:val="000C17BA"/>
    <w:rsid w:val="000C1DCA"/>
    <w:rsid w:val="000D278B"/>
    <w:rsid w:val="000E0CD9"/>
    <w:rsid w:val="000E23A7"/>
    <w:rsid w:val="000F2AB5"/>
    <w:rsid w:val="00105CB1"/>
    <w:rsid w:val="0010693F"/>
    <w:rsid w:val="00107E5E"/>
    <w:rsid w:val="00113D1C"/>
    <w:rsid w:val="00114472"/>
    <w:rsid w:val="0013379C"/>
    <w:rsid w:val="001404B6"/>
    <w:rsid w:val="001550BC"/>
    <w:rsid w:val="00157398"/>
    <w:rsid w:val="001605B9"/>
    <w:rsid w:val="00170EC5"/>
    <w:rsid w:val="001747C1"/>
    <w:rsid w:val="00184743"/>
    <w:rsid w:val="00193A76"/>
    <w:rsid w:val="00194411"/>
    <w:rsid w:val="001A6752"/>
    <w:rsid w:val="001C0FC2"/>
    <w:rsid w:val="001C298C"/>
    <w:rsid w:val="001D1A58"/>
    <w:rsid w:val="001D3AFC"/>
    <w:rsid w:val="001D68A6"/>
    <w:rsid w:val="001F3E51"/>
    <w:rsid w:val="0020404F"/>
    <w:rsid w:val="00207DF5"/>
    <w:rsid w:val="00216193"/>
    <w:rsid w:val="002313EA"/>
    <w:rsid w:val="00231CFA"/>
    <w:rsid w:val="00232D68"/>
    <w:rsid w:val="00234DD9"/>
    <w:rsid w:val="0025341D"/>
    <w:rsid w:val="00255FBF"/>
    <w:rsid w:val="00257C21"/>
    <w:rsid w:val="002619FA"/>
    <w:rsid w:val="00275474"/>
    <w:rsid w:val="00275A94"/>
    <w:rsid w:val="00280E07"/>
    <w:rsid w:val="0029605F"/>
    <w:rsid w:val="002C31BF"/>
    <w:rsid w:val="002D08B1"/>
    <w:rsid w:val="002D6523"/>
    <w:rsid w:val="002E0CD7"/>
    <w:rsid w:val="002F5C46"/>
    <w:rsid w:val="003013FA"/>
    <w:rsid w:val="00305D99"/>
    <w:rsid w:val="003071BD"/>
    <w:rsid w:val="00326DE0"/>
    <w:rsid w:val="00332C34"/>
    <w:rsid w:val="00341DCF"/>
    <w:rsid w:val="00355E28"/>
    <w:rsid w:val="00357BC6"/>
    <w:rsid w:val="0038088E"/>
    <w:rsid w:val="003876BD"/>
    <w:rsid w:val="003956C6"/>
    <w:rsid w:val="003A0DCF"/>
    <w:rsid w:val="003A4D59"/>
    <w:rsid w:val="003A5347"/>
    <w:rsid w:val="003B39EC"/>
    <w:rsid w:val="003B5DD6"/>
    <w:rsid w:val="003B5FC3"/>
    <w:rsid w:val="003C3B66"/>
    <w:rsid w:val="003D1F1E"/>
    <w:rsid w:val="003D4E81"/>
    <w:rsid w:val="003D6687"/>
    <w:rsid w:val="003D703A"/>
    <w:rsid w:val="003D7412"/>
    <w:rsid w:val="003F20D8"/>
    <w:rsid w:val="003F2197"/>
    <w:rsid w:val="00401303"/>
    <w:rsid w:val="0042314E"/>
    <w:rsid w:val="00431925"/>
    <w:rsid w:val="0043570D"/>
    <w:rsid w:val="00435F04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B4B08"/>
    <w:rsid w:val="004C4399"/>
    <w:rsid w:val="004C728D"/>
    <w:rsid w:val="004C787C"/>
    <w:rsid w:val="004D77E2"/>
    <w:rsid w:val="004E143C"/>
    <w:rsid w:val="004E1498"/>
    <w:rsid w:val="004E3A53"/>
    <w:rsid w:val="004F4B9B"/>
    <w:rsid w:val="004F67B9"/>
    <w:rsid w:val="00507784"/>
    <w:rsid w:val="00511AB9"/>
    <w:rsid w:val="005151D4"/>
    <w:rsid w:val="00522467"/>
    <w:rsid w:val="00523EA7"/>
    <w:rsid w:val="00527421"/>
    <w:rsid w:val="0053058F"/>
    <w:rsid w:val="00537B7A"/>
    <w:rsid w:val="00537B95"/>
    <w:rsid w:val="005432C0"/>
    <w:rsid w:val="00552EA1"/>
    <w:rsid w:val="00553375"/>
    <w:rsid w:val="00570B7C"/>
    <w:rsid w:val="005736B7"/>
    <w:rsid w:val="005740C3"/>
    <w:rsid w:val="00575E5A"/>
    <w:rsid w:val="00592757"/>
    <w:rsid w:val="00597E84"/>
    <w:rsid w:val="005A7EE4"/>
    <w:rsid w:val="005B76DD"/>
    <w:rsid w:val="005D497E"/>
    <w:rsid w:val="005D5624"/>
    <w:rsid w:val="005E042B"/>
    <w:rsid w:val="005E7260"/>
    <w:rsid w:val="005F1404"/>
    <w:rsid w:val="0060520C"/>
    <w:rsid w:val="00607045"/>
    <w:rsid w:val="0061068E"/>
    <w:rsid w:val="00612592"/>
    <w:rsid w:val="00613238"/>
    <w:rsid w:val="006205EF"/>
    <w:rsid w:val="00636880"/>
    <w:rsid w:val="006566F7"/>
    <w:rsid w:val="00660AD3"/>
    <w:rsid w:val="00664F50"/>
    <w:rsid w:val="00677B7F"/>
    <w:rsid w:val="00682F7A"/>
    <w:rsid w:val="006A5570"/>
    <w:rsid w:val="006A689C"/>
    <w:rsid w:val="006B0E0D"/>
    <w:rsid w:val="006B0F85"/>
    <w:rsid w:val="006B3D79"/>
    <w:rsid w:val="006C7697"/>
    <w:rsid w:val="006D7AFE"/>
    <w:rsid w:val="006E0578"/>
    <w:rsid w:val="006E314D"/>
    <w:rsid w:val="006E6E61"/>
    <w:rsid w:val="006F356B"/>
    <w:rsid w:val="006F7AF9"/>
    <w:rsid w:val="007061F8"/>
    <w:rsid w:val="00710723"/>
    <w:rsid w:val="00723ED1"/>
    <w:rsid w:val="0072506E"/>
    <w:rsid w:val="007356C5"/>
    <w:rsid w:val="00743525"/>
    <w:rsid w:val="007449A1"/>
    <w:rsid w:val="007510DD"/>
    <w:rsid w:val="00753EBA"/>
    <w:rsid w:val="00753F1F"/>
    <w:rsid w:val="00755A2C"/>
    <w:rsid w:val="00756BBA"/>
    <w:rsid w:val="0076286B"/>
    <w:rsid w:val="00766261"/>
    <w:rsid w:val="00766846"/>
    <w:rsid w:val="0077673A"/>
    <w:rsid w:val="00783633"/>
    <w:rsid w:val="007846E1"/>
    <w:rsid w:val="007A0C04"/>
    <w:rsid w:val="007B1F1E"/>
    <w:rsid w:val="007B52EB"/>
    <w:rsid w:val="007B570C"/>
    <w:rsid w:val="007B7C2E"/>
    <w:rsid w:val="007C01CD"/>
    <w:rsid w:val="007C589B"/>
    <w:rsid w:val="007D4C02"/>
    <w:rsid w:val="007E4A6E"/>
    <w:rsid w:val="007F56A7"/>
    <w:rsid w:val="00807DD0"/>
    <w:rsid w:val="00810E9B"/>
    <w:rsid w:val="00816B59"/>
    <w:rsid w:val="00845DC2"/>
    <w:rsid w:val="0084768D"/>
    <w:rsid w:val="008549FB"/>
    <w:rsid w:val="00857B54"/>
    <w:rsid w:val="0086114C"/>
    <w:rsid w:val="00865561"/>
    <w:rsid w:val="008659F3"/>
    <w:rsid w:val="008672C8"/>
    <w:rsid w:val="00875F52"/>
    <w:rsid w:val="00886D4B"/>
    <w:rsid w:val="00895406"/>
    <w:rsid w:val="008A3568"/>
    <w:rsid w:val="008B6021"/>
    <w:rsid w:val="008D03B9"/>
    <w:rsid w:val="008E1E86"/>
    <w:rsid w:val="008E3744"/>
    <w:rsid w:val="008F18D6"/>
    <w:rsid w:val="008F7DFE"/>
    <w:rsid w:val="0090198F"/>
    <w:rsid w:val="00904389"/>
    <w:rsid w:val="00904780"/>
    <w:rsid w:val="00922385"/>
    <w:rsid w:val="009223DF"/>
    <w:rsid w:val="00926B3C"/>
    <w:rsid w:val="00932D66"/>
    <w:rsid w:val="00936091"/>
    <w:rsid w:val="00940D8A"/>
    <w:rsid w:val="00950C1F"/>
    <w:rsid w:val="0095682E"/>
    <w:rsid w:val="00962258"/>
    <w:rsid w:val="009678B7"/>
    <w:rsid w:val="00973F58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DD"/>
    <w:rsid w:val="00A02EE7"/>
    <w:rsid w:val="00A157FE"/>
    <w:rsid w:val="00A32FF4"/>
    <w:rsid w:val="00A55D02"/>
    <w:rsid w:val="00A605AE"/>
    <w:rsid w:val="00A6177B"/>
    <w:rsid w:val="00A66136"/>
    <w:rsid w:val="00A7211C"/>
    <w:rsid w:val="00A76699"/>
    <w:rsid w:val="00A930D9"/>
    <w:rsid w:val="00AA4CBB"/>
    <w:rsid w:val="00AA65FA"/>
    <w:rsid w:val="00AA7351"/>
    <w:rsid w:val="00AA7C88"/>
    <w:rsid w:val="00AB6759"/>
    <w:rsid w:val="00AC5E64"/>
    <w:rsid w:val="00AD056F"/>
    <w:rsid w:val="00AD6731"/>
    <w:rsid w:val="00AD7371"/>
    <w:rsid w:val="00AF11FA"/>
    <w:rsid w:val="00B15D0D"/>
    <w:rsid w:val="00B17679"/>
    <w:rsid w:val="00B27209"/>
    <w:rsid w:val="00B3452A"/>
    <w:rsid w:val="00B35815"/>
    <w:rsid w:val="00B365D2"/>
    <w:rsid w:val="00B51DCE"/>
    <w:rsid w:val="00B545C1"/>
    <w:rsid w:val="00B664FB"/>
    <w:rsid w:val="00B748DD"/>
    <w:rsid w:val="00B75EE1"/>
    <w:rsid w:val="00B77481"/>
    <w:rsid w:val="00B8518B"/>
    <w:rsid w:val="00BA114A"/>
    <w:rsid w:val="00BB184D"/>
    <w:rsid w:val="00BC4DC9"/>
    <w:rsid w:val="00BD609E"/>
    <w:rsid w:val="00BD7E91"/>
    <w:rsid w:val="00C01FA7"/>
    <w:rsid w:val="00C02D0A"/>
    <w:rsid w:val="00C03A6E"/>
    <w:rsid w:val="00C22949"/>
    <w:rsid w:val="00C254F8"/>
    <w:rsid w:val="00C35AE5"/>
    <w:rsid w:val="00C42A1F"/>
    <w:rsid w:val="00C44F6A"/>
    <w:rsid w:val="00C47AE3"/>
    <w:rsid w:val="00C704B5"/>
    <w:rsid w:val="00C70EC1"/>
    <w:rsid w:val="00C74467"/>
    <w:rsid w:val="00CA6C57"/>
    <w:rsid w:val="00CB53B1"/>
    <w:rsid w:val="00CC6991"/>
    <w:rsid w:val="00CD1DA8"/>
    <w:rsid w:val="00CD1FC4"/>
    <w:rsid w:val="00CD5A60"/>
    <w:rsid w:val="00CE2103"/>
    <w:rsid w:val="00D06362"/>
    <w:rsid w:val="00D21061"/>
    <w:rsid w:val="00D4108E"/>
    <w:rsid w:val="00D465AE"/>
    <w:rsid w:val="00D56D19"/>
    <w:rsid w:val="00D575E8"/>
    <w:rsid w:val="00D6163D"/>
    <w:rsid w:val="00D657AD"/>
    <w:rsid w:val="00D76037"/>
    <w:rsid w:val="00D80C18"/>
    <w:rsid w:val="00D831A3"/>
    <w:rsid w:val="00D85C5B"/>
    <w:rsid w:val="00D9782E"/>
    <w:rsid w:val="00DB210B"/>
    <w:rsid w:val="00DB4352"/>
    <w:rsid w:val="00DC44B3"/>
    <w:rsid w:val="00DC60C3"/>
    <w:rsid w:val="00DC75F3"/>
    <w:rsid w:val="00DD46F3"/>
    <w:rsid w:val="00DE56F2"/>
    <w:rsid w:val="00DF116D"/>
    <w:rsid w:val="00E017C5"/>
    <w:rsid w:val="00E23B94"/>
    <w:rsid w:val="00E300F1"/>
    <w:rsid w:val="00E31682"/>
    <w:rsid w:val="00E510E6"/>
    <w:rsid w:val="00E55600"/>
    <w:rsid w:val="00E55F3F"/>
    <w:rsid w:val="00E760BC"/>
    <w:rsid w:val="00E957FB"/>
    <w:rsid w:val="00EB104F"/>
    <w:rsid w:val="00EC31B3"/>
    <w:rsid w:val="00ED14BD"/>
    <w:rsid w:val="00EE50BB"/>
    <w:rsid w:val="00EF1804"/>
    <w:rsid w:val="00F0533E"/>
    <w:rsid w:val="00F1048D"/>
    <w:rsid w:val="00F12C80"/>
    <w:rsid w:val="00F12DEC"/>
    <w:rsid w:val="00F1715C"/>
    <w:rsid w:val="00F21405"/>
    <w:rsid w:val="00F26996"/>
    <w:rsid w:val="00F310F8"/>
    <w:rsid w:val="00F35939"/>
    <w:rsid w:val="00F45607"/>
    <w:rsid w:val="00F60F94"/>
    <w:rsid w:val="00F659EB"/>
    <w:rsid w:val="00F71D28"/>
    <w:rsid w:val="00F867BB"/>
    <w:rsid w:val="00F86BA6"/>
    <w:rsid w:val="00F969C4"/>
    <w:rsid w:val="00F96BCB"/>
    <w:rsid w:val="00FA095D"/>
    <w:rsid w:val="00FA32F8"/>
    <w:rsid w:val="00FB0FA6"/>
    <w:rsid w:val="00FB1071"/>
    <w:rsid w:val="00FC6389"/>
    <w:rsid w:val="00FD17C6"/>
    <w:rsid w:val="00FD350E"/>
    <w:rsid w:val="00FD57C5"/>
    <w:rsid w:val="00FF0211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DD73BABB-59A8-4C47-8691-E29A61C1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7784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3E9D2F-74A7-4DD2-87A5-AA196268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1758</Words>
  <Characters>10374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Škába Ladislav, Bc., DiS.</cp:lastModifiedBy>
  <cp:revision>10</cp:revision>
  <cp:lastPrinted>2021-03-09T09:02:00Z</cp:lastPrinted>
  <dcterms:created xsi:type="dcterms:W3CDTF">2021-09-22T11:25:00Z</dcterms:created>
  <dcterms:modified xsi:type="dcterms:W3CDTF">2021-12-01T07:37:00Z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